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2004 28 vom 3. Juni 2004</w:t>
      </w:r>
    </w:p>
    <w:p>
      <w:r>
        <w:t>GR Gerichte, 2004-06-03, DE</w:t>
      </w:r>
    </w:p>
    <w:p>
      <w:r>
        <w:rPr>
          <w:b/>
        </w:rPr>
        <w:t xml:space="preserve">Quelle: </w:t>
      </w:r>
      <w:r>
        <w:t>https://mcp.opencaselaw.ch/entscheid/gr_gerichte_U 2004 28</w:t>
      </w:r>
    </w:p>
    <w:p>
      <w:r>
        <w:t>FR: GR_GERICHTE U 2004 28 du 3 juin 2004</w:t>
      </w:r>
    </w:p>
    <w:p>
      <w:r>
        <w:t>IT: GR_GERICHTE U 2004 28 del 3 giugno 2004</w:t>
      </w:r>
    </w:p>
    <w:p>
      <w:pPr>
        <w:pStyle w:val="Heading2"/>
      </w:pPr>
      <w:r>
        <w:t>Regeste</w:t>
      </w:r>
    </w:p>
    <w:p>
      <w:r>
        <w:t>Aufenthaltsbewilligung | Fremdenpolizei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gehen die Verfahrenskosten unter solidarischer Haftbarkeit zulasten der Rekurrenten. Demnach erkennt das Gericht: 1. Der Rekurs wird abgewiesen. 2. Die Gerichtskosten, bestehend - aus einer Staatsgebühr von Fr. 1'000.-- - und den Kanzleiauslagen von Fr. 136.-- zusammen Fr. 1'136.--</w:t>
      </w:r>
    </w:p>
    <w:p>
      <w:r>
        <w:t>gehen unter solidarischer Haftbarkeit zulasten von … und sind innert 30 Tagen seit Zustellung dieses Entscheides an die Finanzverwaltung des Kantons Graubünden, Chur,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